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3778" w14:textId="20DDC996" w:rsidR="00CF32DA" w:rsidRDefault="00CF32DA" w:rsidP="00652B79">
      <w:pPr>
        <w:spacing w:after="87"/>
        <w:ind w:left="10" w:right="6" w:hanging="10"/>
        <w:jc w:val="center"/>
        <w:rPr>
          <w:color w:val="A8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78B4758" wp14:editId="6B8F58AD">
            <wp:simplePos x="0" y="0"/>
            <wp:positionH relativeFrom="margin">
              <wp:posOffset>-685800</wp:posOffset>
            </wp:positionH>
            <wp:positionV relativeFrom="page">
              <wp:align>top</wp:align>
            </wp:positionV>
            <wp:extent cx="7689668" cy="10876901"/>
            <wp:effectExtent l="0" t="0" r="6985" b="1270"/>
            <wp:wrapNone/>
            <wp:docPr id="1" name="Immagine 1" descr="filigr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gran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68" cy="1087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9250" w14:textId="77777777" w:rsidR="00CF32DA" w:rsidRDefault="00CF32DA" w:rsidP="00652B79">
      <w:pPr>
        <w:spacing w:after="87"/>
        <w:ind w:left="10" w:right="6" w:hanging="10"/>
        <w:jc w:val="center"/>
        <w:rPr>
          <w:color w:val="A80000"/>
          <w:sz w:val="24"/>
        </w:rPr>
      </w:pPr>
    </w:p>
    <w:p w14:paraId="0386727E" w14:textId="257E650E" w:rsidR="00652B79" w:rsidRPr="00285511" w:rsidRDefault="00652B79" w:rsidP="00652B79">
      <w:pPr>
        <w:spacing w:after="87"/>
        <w:ind w:left="10" w:right="6" w:hanging="10"/>
        <w:jc w:val="center"/>
        <w:rPr>
          <w:b/>
          <w:bCs/>
          <w:sz w:val="36"/>
          <w:szCs w:val="36"/>
        </w:rPr>
      </w:pPr>
      <w:r w:rsidRPr="00285511">
        <w:rPr>
          <w:b/>
          <w:bCs/>
          <w:color w:val="A80000"/>
          <w:sz w:val="36"/>
          <w:szCs w:val="36"/>
        </w:rPr>
        <w:t>GL</w:t>
      </w:r>
      <w:r w:rsidR="00CF32DA" w:rsidRPr="00285511">
        <w:rPr>
          <w:b/>
          <w:bCs/>
          <w:color w:val="A80000"/>
          <w:sz w:val="36"/>
          <w:szCs w:val="36"/>
        </w:rPr>
        <w:t>I</w:t>
      </w:r>
      <w:r w:rsidRPr="00285511">
        <w:rPr>
          <w:b/>
          <w:bCs/>
          <w:color w:val="A80000"/>
          <w:sz w:val="36"/>
          <w:szCs w:val="36"/>
        </w:rPr>
        <w:t xml:space="preserve"> (gruppo di lavoro </w:t>
      </w:r>
      <w:r w:rsidR="00CF32DA" w:rsidRPr="00285511">
        <w:rPr>
          <w:b/>
          <w:bCs/>
          <w:color w:val="A80000"/>
          <w:sz w:val="36"/>
          <w:szCs w:val="36"/>
        </w:rPr>
        <w:t>inclusione</w:t>
      </w:r>
      <w:r w:rsidRPr="00285511">
        <w:rPr>
          <w:b/>
          <w:bCs/>
          <w:color w:val="A80000"/>
          <w:sz w:val="36"/>
          <w:szCs w:val="36"/>
        </w:rPr>
        <w:t>)</w:t>
      </w:r>
      <w:r w:rsidRPr="00285511">
        <w:rPr>
          <w:rFonts w:ascii="Calisto MT" w:eastAsia="Calisto MT" w:hAnsi="Calisto MT" w:cs="Calisto MT"/>
          <w:b/>
          <w:bCs/>
          <w:color w:val="A80000"/>
          <w:sz w:val="36"/>
          <w:szCs w:val="36"/>
        </w:rPr>
        <w:t xml:space="preserve"> </w:t>
      </w:r>
    </w:p>
    <w:p w14:paraId="57E30DDC" w14:textId="77777777" w:rsidR="00652B79" w:rsidRPr="00285511" w:rsidRDefault="00652B79" w:rsidP="00652B79">
      <w:pPr>
        <w:spacing w:after="38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Che cos’è? </w:t>
      </w:r>
    </w:p>
    <w:p w14:paraId="3C9792B4" w14:textId="0DDEB0DD" w:rsidR="00652B79" w:rsidRPr="00285511" w:rsidRDefault="00652B79" w:rsidP="00652B79">
      <w:pPr>
        <w:spacing w:after="1" w:line="312" w:lineRule="auto"/>
        <w:ind w:left="-5" w:right="7" w:hanging="1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È il gruppo di studio e di lavoro, costituito presso l’Istituto, che si occupa di collaborare alle iniziative educative e all’integrazione predisposte nel piano educativo individualizzato (PEI). Il GL</w:t>
      </w:r>
      <w:r w:rsidR="00CF32DA" w:rsidRPr="00285511">
        <w:rPr>
          <w:rFonts w:asciiTheme="majorHAnsi" w:eastAsia="Calisto MT" w:hAnsiTheme="majorHAnsi" w:cstheme="majorHAnsi"/>
        </w:rPr>
        <w:t>I</w:t>
      </w:r>
      <w:r w:rsidRPr="00285511">
        <w:rPr>
          <w:rFonts w:asciiTheme="majorHAnsi" w:eastAsia="Calisto MT" w:hAnsiTheme="majorHAnsi" w:cstheme="majorHAnsi"/>
        </w:rPr>
        <w:t xml:space="preserve"> deve essere costituito dal Dirigente scolastico. </w:t>
      </w:r>
    </w:p>
    <w:p w14:paraId="1DE3DECE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49E74F64" w14:textId="77777777" w:rsidR="00652B79" w:rsidRPr="00285511" w:rsidRDefault="00652B79" w:rsidP="00652B79">
      <w:pPr>
        <w:spacing w:after="0"/>
        <w:ind w:left="-5" w:hanging="10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Da chi è formato? </w:t>
      </w:r>
    </w:p>
    <w:p w14:paraId="49DD7EE7" w14:textId="4E21D78B" w:rsidR="00652B79" w:rsidRPr="00285511" w:rsidRDefault="00652B79" w:rsidP="00652B79">
      <w:pPr>
        <w:spacing w:after="49" w:line="265" w:lineRule="auto"/>
        <w:ind w:left="-15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Il GL</w:t>
      </w:r>
      <w:r w:rsidR="00CF32DA" w:rsidRPr="00285511">
        <w:rPr>
          <w:rFonts w:asciiTheme="majorHAnsi" w:eastAsia="Calisto MT" w:hAnsiTheme="majorHAnsi" w:cstheme="majorHAnsi"/>
        </w:rPr>
        <w:t xml:space="preserve">I </w:t>
      </w:r>
      <w:r w:rsidRPr="00285511">
        <w:rPr>
          <w:rFonts w:asciiTheme="majorHAnsi" w:eastAsia="Calisto MT" w:hAnsiTheme="majorHAnsi" w:cstheme="majorHAnsi"/>
        </w:rPr>
        <w:t xml:space="preserve">del Liceo è composto da: </w:t>
      </w:r>
    </w:p>
    <w:p w14:paraId="515A3A03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 </w:t>
      </w:r>
    </w:p>
    <w:tbl>
      <w:tblPr>
        <w:tblStyle w:val="TableGrid"/>
        <w:tblW w:w="10099" w:type="dxa"/>
        <w:tblInd w:w="0" w:type="dxa"/>
        <w:tblCellMar>
          <w:top w:w="62" w:type="dxa"/>
          <w:right w:w="1" w:type="dxa"/>
        </w:tblCellMar>
        <w:tblLook w:val="04A0" w:firstRow="1" w:lastRow="0" w:firstColumn="1" w:lastColumn="0" w:noHBand="0" w:noVBand="1"/>
      </w:tblPr>
      <w:tblGrid>
        <w:gridCol w:w="1842"/>
        <w:gridCol w:w="2631"/>
        <w:gridCol w:w="2566"/>
        <w:gridCol w:w="3060"/>
      </w:tblGrid>
      <w:tr w:rsidR="00652B79" w:rsidRPr="00285511" w14:paraId="138D2879" w14:textId="77777777" w:rsidTr="00B05C72">
        <w:trPr>
          <w:trHeight w:val="731"/>
        </w:trPr>
        <w:tc>
          <w:tcPr>
            <w:tcW w:w="1841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0D70539E" w14:textId="77777777" w:rsidR="00652B79" w:rsidRPr="00285511" w:rsidRDefault="00652B79" w:rsidP="00B05C72">
            <w:pPr>
              <w:ind w:left="113"/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Componente </w:t>
            </w:r>
          </w:p>
          <w:p w14:paraId="294495AA" w14:textId="77777777" w:rsidR="00652B79" w:rsidRPr="00285511" w:rsidRDefault="00652B79" w:rsidP="00B05C72">
            <w:pPr>
              <w:ind w:left="113"/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docenti     </w:t>
            </w:r>
          </w:p>
        </w:tc>
        <w:tc>
          <w:tcPr>
            <w:tcW w:w="2631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472E5640" w14:textId="0277C11E" w:rsidR="00652B79" w:rsidRPr="00285511" w:rsidRDefault="00652B79" w:rsidP="00B05C72">
            <w:pPr>
              <w:ind w:right="143"/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Scuola di appartenenza  </w:t>
            </w:r>
          </w:p>
        </w:tc>
        <w:tc>
          <w:tcPr>
            <w:tcW w:w="2566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57AFB7A1" w14:textId="77777777" w:rsidR="00652B79" w:rsidRPr="00285511" w:rsidRDefault="00652B79" w:rsidP="00B05C72">
            <w:pPr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Componente non docente </w:t>
            </w:r>
          </w:p>
        </w:tc>
        <w:tc>
          <w:tcPr>
            <w:tcW w:w="3060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0B24884A" w14:textId="77777777" w:rsidR="00652B79" w:rsidRPr="00285511" w:rsidRDefault="00652B79" w:rsidP="00B05C72">
            <w:pPr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Ente di appartenenza </w:t>
            </w:r>
          </w:p>
        </w:tc>
      </w:tr>
      <w:tr w:rsidR="00652B79" w:rsidRPr="00285511" w14:paraId="69DCA486" w14:textId="77777777" w:rsidTr="00B05C72">
        <w:trPr>
          <w:trHeight w:val="884"/>
        </w:trPr>
        <w:tc>
          <w:tcPr>
            <w:tcW w:w="184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  <w:vAlign w:val="center"/>
          </w:tcPr>
          <w:p w14:paraId="2956562B" w14:textId="77777777" w:rsidR="00652B79" w:rsidRPr="00285511" w:rsidRDefault="00652B79" w:rsidP="00B05C72">
            <w:pPr>
              <w:ind w:left="113"/>
              <w:rPr>
                <w:rFonts w:asciiTheme="majorHAnsi" w:hAnsiTheme="majorHAnsi" w:cstheme="majorHAnsi"/>
              </w:rPr>
            </w:pPr>
            <w:proofErr w:type="spellStart"/>
            <w:r w:rsidRPr="00285511">
              <w:rPr>
                <w:rFonts w:asciiTheme="majorHAnsi" w:hAnsiTheme="majorHAnsi" w:cstheme="majorHAnsi"/>
              </w:rPr>
              <w:t>M.Paola</w:t>
            </w:r>
            <w:proofErr w:type="spellEnd"/>
            <w:r w:rsidRPr="00285511">
              <w:rPr>
                <w:rFonts w:asciiTheme="majorHAnsi" w:hAnsiTheme="majorHAnsi" w:cstheme="majorHAnsi"/>
              </w:rPr>
              <w:t xml:space="preserve"> Calderara </w:t>
            </w:r>
          </w:p>
        </w:tc>
        <w:tc>
          <w:tcPr>
            <w:tcW w:w="263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7034698A" w14:textId="77777777" w:rsidR="00652B79" w:rsidRPr="00285511" w:rsidRDefault="00652B79" w:rsidP="00B05C72">
            <w:pPr>
              <w:jc w:val="both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Dirigente/Coordinatore   </w:t>
            </w:r>
          </w:p>
        </w:tc>
        <w:tc>
          <w:tcPr>
            <w:tcW w:w="2566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25C1BCA2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3060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146E631A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</w:tr>
      <w:tr w:rsidR="00652B79" w:rsidRPr="00285511" w14:paraId="44390096" w14:textId="77777777" w:rsidTr="00B05C72">
        <w:trPr>
          <w:trHeight w:val="724"/>
        </w:trPr>
        <w:tc>
          <w:tcPr>
            <w:tcW w:w="184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50A09ED7" w14:textId="77777777" w:rsidR="00652B79" w:rsidRPr="00285511" w:rsidRDefault="00652B79" w:rsidP="00B05C72">
            <w:pPr>
              <w:ind w:left="113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263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3CFA891B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Personale </w:t>
            </w:r>
          </w:p>
          <w:p w14:paraId="726A92F8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ASL/Territorio </w:t>
            </w:r>
          </w:p>
        </w:tc>
        <w:tc>
          <w:tcPr>
            <w:tcW w:w="2566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7D951CD7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3060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5C8061E9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</w:tr>
      <w:tr w:rsidR="00652B79" w:rsidRPr="00285511" w14:paraId="7CB641EC" w14:textId="77777777" w:rsidTr="00B05C72">
        <w:trPr>
          <w:trHeight w:val="884"/>
        </w:trPr>
        <w:tc>
          <w:tcPr>
            <w:tcW w:w="184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  <w:vAlign w:val="center"/>
          </w:tcPr>
          <w:p w14:paraId="59D84545" w14:textId="77777777" w:rsidR="00652B79" w:rsidRPr="00285511" w:rsidRDefault="00652B79" w:rsidP="00B05C72">
            <w:pPr>
              <w:ind w:left="113" w:right="6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hAnsiTheme="majorHAnsi" w:cstheme="majorHAnsi"/>
              </w:rPr>
              <w:t xml:space="preserve">Valeria Terruzzi </w:t>
            </w:r>
          </w:p>
        </w:tc>
        <w:tc>
          <w:tcPr>
            <w:tcW w:w="263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58E64C8B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Docente </w:t>
            </w:r>
          </w:p>
        </w:tc>
        <w:tc>
          <w:tcPr>
            <w:tcW w:w="2566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16136097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3060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006D5082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 </w:t>
            </w:r>
          </w:p>
        </w:tc>
      </w:tr>
      <w:tr w:rsidR="00652B79" w:rsidRPr="00285511" w14:paraId="234064DD" w14:textId="77777777" w:rsidTr="00B05C72">
        <w:trPr>
          <w:trHeight w:val="738"/>
        </w:trPr>
        <w:tc>
          <w:tcPr>
            <w:tcW w:w="184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1F56811E" w14:textId="5C80B59C" w:rsidR="00652B79" w:rsidRPr="00285511" w:rsidRDefault="00CF32DA" w:rsidP="00B05C72">
            <w:pPr>
              <w:ind w:left="113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hAnsiTheme="majorHAnsi" w:cstheme="majorHAnsi"/>
              </w:rPr>
              <w:t>Valeria Bianco</w:t>
            </w:r>
            <w:r w:rsidR="00652B79" w:rsidRPr="0028551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3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54A419DD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Docente </w:t>
            </w:r>
          </w:p>
        </w:tc>
        <w:tc>
          <w:tcPr>
            <w:tcW w:w="2566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36811571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 </w:t>
            </w:r>
          </w:p>
        </w:tc>
        <w:tc>
          <w:tcPr>
            <w:tcW w:w="3060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112067F2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 </w:t>
            </w:r>
          </w:p>
        </w:tc>
      </w:tr>
    </w:tbl>
    <w:p w14:paraId="786A43BB" w14:textId="77777777" w:rsidR="00652B79" w:rsidRPr="00285511" w:rsidRDefault="00652B79" w:rsidP="00652B79">
      <w:pPr>
        <w:spacing w:after="0"/>
        <w:ind w:left="113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ab/>
        <w:t xml:space="preserve"> </w:t>
      </w:r>
      <w:r w:rsidRPr="00285511">
        <w:rPr>
          <w:rFonts w:asciiTheme="majorHAnsi" w:eastAsia="Calisto MT" w:hAnsiTheme="majorHAnsi" w:cstheme="majorHAnsi"/>
        </w:rPr>
        <w:tab/>
        <w:t xml:space="preserve">  </w:t>
      </w:r>
      <w:r w:rsidRPr="00285511">
        <w:rPr>
          <w:rFonts w:asciiTheme="majorHAnsi" w:eastAsia="Calisto MT" w:hAnsiTheme="majorHAnsi" w:cstheme="majorHAnsi"/>
        </w:rPr>
        <w:tab/>
        <w:t xml:space="preserve"> </w:t>
      </w:r>
    </w:p>
    <w:p w14:paraId="08BC6143" w14:textId="56D9A115" w:rsidR="00652B79" w:rsidRPr="00285511" w:rsidRDefault="00652B79" w:rsidP="00CF32DA">
      <w:pPr>
        <w:spacing w:after="50"/>
        <w:ind w:left="-29" w:right="-460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Che cosa fa? </w:t>
      </w:r>
    </w:p>
    <w:p w14:paraId="3DEBEF47" w14:textId="328544C7" w:rsidR="00652B79" w:rsidRPr="00285511" w:rsidRDefault="00652B79" w:rsidP="00652B79">
      <w:pPr>
        <w:spacing w:after="68"/>
        <w:ind w:left="-5" w:hanging="1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b/>
          <w:i/>
        </w:rPr>
        <w:t>I compiti del GL</w:t>
      </w:r>
      <w:r w:rsidR="00CF32DA" w:rsidRPr="00285511">
        <w:rPr>
          <w:rFonts w:asciiTheme="majorHAnsi" w:eastAsia="Calisto MT" w:hAnsiTheme="majorHAnsi" w:cstheme="majorHAnsi"/>
          <w:b/>
          <w:i/>
        </w:rPr>
        <w:t>I</w:t>
      </w:r>
      <w:r w:rsidRPr="00285511">
        <w:rPr>
          <w:rFonts w:asciiTheme="majorHAnsi" w:eastAsia="Calisto MT" w:hAnsiTheme="majorHAnsi" w:cstheme="majorHAnsi"/>
          <w:b/>
          <w:i/>
        </w:rPr>
        <w:t xml:space="preserve"> sono: </w:t>
      </w:r>
    </w:p>
    <w:p w14:paraId="19020940" w14:textId="4A18296C" w:rsidR="00CF32DA" w:rsidRPr="00285511" w:rsidRDefault="00652B79" w:rsidP="00CF32DA">
      <w:pPr>
        <w:pStyle w:val="Paragrafoelenco"/>
        <w:numPr>
          <w:ilvl w:val="0"/>
          <w:numId w:val="2"/>
        </w:numPr>
        <w:spacing w:after="1" w:line="312" w:lineRule="auto"/>
        <w:ind w:right="5552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riunirsi in media </w:t>
      </w:r>
      <w:proofErr w:type="gramStart"/>
      <w:r w:rsidRPr="00285511">
        <w:rPr>
          <w:rFonts w:asciiTheme="majorHAnsi" w:eastAsia="Calisto MT" w:hAnsiTheme="majorHAnsi" w:cstheme="majorHAnsi"/>
        </w:rPr>
        <w:t>2</w:t>
      </w:r>
      <w:proofErr w:type="gramEnd"/>
      <w:r w:rsidRPr="00285511">
        <w:rPr>
          <w:rFonts w:asciiTheme="majorHAnsi" w:eastAsia="Calisto MT" w:hAnsiTheme="majorHAnsi" w:cstheme="majorHAnsi"/>
        </w:rPr>
        <w:t xml:space="preserve"> volte</w:t>
      </w:r>
      <w:r w:rsidR="00CF32DA"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l’anno; </w:t>
      </w:r>
    </w:p>
    <w:p w14:paraId="1F474984" w14:textId="5E855CB1" w:rsidR="00652B79" w:rsidRPr="00285511" w:rsidRDefault="00652B79" w:rsidP="00CF32DA">
      <w:pPr>
        <w:pStyle w:val="Paragrafoelenco"/>
        <w:numPr>
          <w:ilvl w:val="0"/>
          <w:numId w:val="2"/>
        </w:numPr>
        <w:spacing w:after="1" w:line="312" w:lineRule="auto"/>
        <w:ind w:right="5552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favorire l’inclusione scolastica; </w:t>
      </w:r>
    </w:p>
    <w:p w14:paraId="0CDC14D0" w14:textId="24A8200E" w:rsidR="00652B79" w:rsidRPr="00285511" w:rsidRDefault="00652B79" w:rsidP="00CF32DA">
      <w:pPr>
        <w:pStyle w:val="Paragrafoelenco"/>
        <w:numPr>
          <w:ilvl w:val="0"/>
          <w:numId w:val="2"/>
        </w:numPr>
        <w:spacing w:after="0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“collaborare alle iniziative educative e di integrazione previste dal piano educativo individualizzato” dei singoli alunni (Legge 104/92). </w:t>
      </w:r>
    </w:p>
    <w:p w14:paraId="72172A74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6E7927C9" w14:textId="77777777" w:rsidR="00CF32DA" w:rsidRPr="00285511" w:rsidRDefault="00652B79" w:rsidP="00652B79">
      <w:pPr>
        <w:spacing w:after="48" w:line="312" w:lineRule="auto"/>
        <w:ind w:left="-5" w:right="715" w:hanging="1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b/>
          <w:i/>
        </w:rPr>
        <w:t>Interviene per</w:t>
      </w:r>
      <w:r w:rsidRPr="00285511">
        <w:rPr>
          <w:rFonts w:asciiTheme="majorHAnsi" w:hAnsiTheme="majorHAnsi" w:cstheme="majorHAnsi"/>
        </w:rPr>
        <w:t xml:space="preserve">: </w:t>
      </w:r>
    </w:p>
    <w:p w14:paraId="7DC49B7F" w14:textId="4BB36073" w:rsidR="00652B79" w:rsidRPr="00285511" w:rsidRDefault="00652B79" w:rsidP="00CF32DA">
      <w:pPr>
        <w:pStyle w:val="Paragrafoelenco"/>
        <w:numPr>
          <w:ilvl w:val="0"/>
          <w:numId w:val="3"/>
        </w:numPr>
        <w:spacing w:after="48" w:line="312" w:lineRule="auto"/>
        <w:ind w:right="715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analizzare la situazione complessiva nell’ambito dell’Istituto (numero degli alunni in situazione di handicap, tipologia degli handicap, classi coinvolte); </w:t>
      </w:r>
    </w:p>
    <w:p w14:paraId="440E0F68" w14:textId="77777777" w:rsidR="00285511" w:rsidRPr="00285511" w:rsidRDefault="00652B79" w:rsidP="00285511">
      <w:pPr>
        <w:pStyle w:val="Paragrafoelenco"/>
        <w:numPr>
          <w:ilvl w:val="0"/>
          <w:numId w:val="3"/>
        </w:numPr>
        <w:spacing w:after="1" w:line="312" w:lineRule="auto"/>
        <w:ind w:right="7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analizzare le risorse dell’Istituto, sia umane sia materiali</w:t>
      </w:r>
    </w:p>
    <w:p w14:paraId="04BA4314" w14:textId="435F8F6D" w:rsidR="00CF32DA" w:rsidRPr="00285511" w:rsidRDefault="00652B79" w:rsidP="00285511">
      <w:pPr>
        <w:pStyle w:val="Paragrafoelenco"/>
        <w:numPr>
          <w:ilvl w:val="0"/>
          <w:numId w:val="3"/>
        </w:numPr>
        <w:spacing w:after="1" w:line="312" w:lineRule="auto"/>
        <w:ind w:right="7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predisporre una proposta di calendario per gli incontri dei GL</w:t>
      </w:r>
      <w:r w:rsidR="00CF32DA" w:rsidRPr="00285511">
        <w:rPr>
          <w:rFonts w:asciiTheme="majorHAnsi" w:eastAsia="Calisto MT" w:hAnsiTheme="majorHAnsi" w:cstheme="majorHAnsi"/>
        </w:rPr>
        <w:t>I</w:t>
      </w:r>
      <w:r w:rsidRPr="00285511">
        <w:rPr>
          <w:rFonts w:asciiTheme="majorHAnsi" w:eastAsia="Calisto MT" w:hAnsiTheme="majorHAnsi" w:cstheme="majorHAnsi"/>
        </w:rPr>
        <w:t xml:space="preserve"> operativi; </w:t>
      </w:r>
    </w:p>
    <w:p w14:paraId="43C49ED1" w14:textId="50AF02A5" w:rsidR="00652B79" w:rsidRPr="00285511" w:rsidRDefault="00CF32DA" w:rsidP="00CF32DA">
      <w:pPr>
        <w:pStyle w:val="Paragrafoelenco"/>
        <w:numPr>
          <w:ilvl w:val="0"/>
          <w:numId w:val="3"/>
        </w:numPr>
        <w:spacing w:after="6" w:line="265" w:lineRule="auto"/>
        <w:ind w:right="1634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1" locked="0" layoutInCell="0" allowOverlap="1" wp14:anchorId="44B72B63" wp14:editId="658B210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9668" cy="10876901"/>
            <wp:effectExtent l="0" t="0" r="6985" b="1270"/>
            <wp:wrapNone/>
            <wp:docPr id="2" name="Immagine 2" descr="filigr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gran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68" cy="1087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B79" w:rsidRPr="00285511">
        <w:rPr>
          <w:rFonts w:asciiTheme="majorHAnsi" w:eastAsia="Calisto MT" w:hAnsiTheme="majorHAnsi" w:cstheme="majorHAnsi"/>
        </w:rPr>
        <w:t xml:space="preserve">verificare periodicamente gli interventi intrapresi; </w:t>
      </w:r>
    </w:p>
    <w:p w14:paraId="59F974F9" w14:textId="1B4DCECD" w:rsidR="00652B79" w:rsidRPr="00285511" w:rsidRDefault="00652B79" w:rsidP="00CF32DA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lastRenderedPageBreak/>
        <w:t>formulare proposte per la formazione e l’aggiornamento, anche nell’ottica di prevedere corsi di aggiornamento “comuni” per il personale delle scuole, delle ASL e degli Enti locali, impegnati in piani educativi e di recupero individualizzati.</w:t>
      </w:r>
      <w:r w:rsidRPr="00285511">
        <w:rPr>
          <w:rFonts w:asciiTheme="majorHAnsi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 </w:t>
      </w:r>
    </w:p>
    <w:p w14:paraId="52096D17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0FB1239D" w14:textId="183041F9" w:rsidR="00652B79" w:rsidRPr="00285511" w:rsidRDefault="00652B79" w:rsidP="00285511">
      <w:pPr>
        <w:spacing w:after="0"/>
        <w:ind w:left="-5" w:hanging="10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Quali sono le competenze? </w:t>
      </w:r>
    </w:p>
    <w:p w14:paraId="19AFE66D" w14:textId="77777777" w:rsidR="00652B79" w:rsidRPr="00285511" w:rsidRDefault="00652B79" w:rsidP="00652B79">
      <w:pPr>
        <w:pStyle w:val="Titolo3"/>
        <w:spacing w:after="68"/>
        <w:ind w:left="-5"/>
        <w:rPr>
          <w:rFonts w:asciiTheme="majorHAnsi" w:hAnsiTheme="majorHAnsi" w:cstheme="majorHAnsi"/>
          <w:sz w:val="22"/>
        </w:rPr>
      </w:pPr>
      <w:r w:rsidRPr="00285511">
        <w:rPr>
          <w:rFonts w:asciiTheme="majorHAnsi" w:eastAsia="Calisto MT" w:hAnsiTheme="majorHAnsi" w:cstheme="majorHAnsi"/>
          <w:b/>
          <w:i/>
          <w:color w:val="000000"/>
          <w:sz w:val="22"/>
        </w:rPr>
        <w:t xml:space="preserve">Competenze di tipo organizzativo </w:t>
      </w:r>
    </w:p>
    <w:p w14:paraId="0C279368" w14:textId="7B56B906" w:rsidR="00652B79" w:rsidRPr="00285511" w:rsidRDefault="00652B79" w:rsidP="00CF32DA">
      <w:pPr>
        <w:pStyle w:val="Paragrafoelenco"/>
        <w:numPr>
          <w:ilvl w:val="0"/>
          <w:numId w:val="4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Gestione delle risorse personali (assegnazione delle ore di attività di sostegno ai singoli alunni; utilizzo delle compresenze tra i docenti; pianificazione dei rapporti con gli operatori extrascolastici; reperimento di specialisti e consulenze esterne); </w:t>
      </w:r>
    </w:p>
    <w:p w14:paraId="654EABE9" w14:textId="0AF1CD31" w:rsidR="00652B79" w:rsidRPr="00285511" w:rsidRDefault="00652B79" w:rsidP="00CF32DA">
      <w:pPr>
        <w:pStyle w:val="Paragrafoelenco"/>
        <w:numPr>
          <w:ilvl w:val="0"/>
          <w:numId w:val="4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Definizione delle modalità di passaggio e di accoglienza degli alunni in situazione di handicap; gestione e reperimento delle risorse materiali (sussidi, ausili tecnologici); </w:t>
      </w:r>
    </w:p>
    <w:p w14:paraId="1625ED27" w14:textId="4AE714D6" w:rsidR="00652B79" w:rsidRPr="00285511" w:rsidRDefault="00652B79" w:rsidP="00CF32DA">
      <w:pPr>
        <w:pStyle w:val="Paragrafoelenco"/>
        <w:numPr>
          <w:ilvl w:val="0"/>
          <w:numId w:val="4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Censimento delle risorse informali (alunni, parrocchia, volontari, famiglie, associazioni varie). </w:t>
      </w:r>
    </w:p>
    <w:p w14:paraId="4807AD09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b/>
          <w:i/>
        </w:rPr>
        <w:t xml:space="preserve"> </w:t>
      </w:r>
    </w:p>
    <w:p w14:paraId="69861120" w14:textId="77777777" w:rsidR="00652B79" w:rsidRPr="00285511" w:rsidRDefault="00652B79" w:rsidP="00652B79">
      <w:pPr>
        <w:pStyle w:val="Titolo3"/>
        <w:spacing w:after="68"/>
        <w:ind w:left="-5"/>
        <w:rPr>
          <w:rFonts w:asciiTheme="majorHAnsi" w:hAnsiTheme="majorHAnsi" w:cstheme="majorHAnsi"/>
          <w:sz w:val="22"/>
        </w:rPr>
      </w:pPr>
      <w:r w:rsidRPr="00285511">
        <w:rPr>
          <w:rFonts w:asciiTheme="majorHAnsi" w:eastAsia="Calisto MT" w:hAnsiTheme="majorHAnsi" w:cstheme="majorHAnsi"/>
          <w:b/>
          <w:i/>
          <w:color w:val="000000"/>
          <w:sz w:val="22"/>
        </w:rPr>
        <w:t xml:space="preserve">Competenze di tipo progettuale e valutativo </w:t>
      </w:r>
    </w:p>
    <w:p w14:paraId="63237EFC" w14:textId="06CF15B5" w:rsidR="00CF32DA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Formulazione di progetti di continuità fra ordini di</w:t>
      </w:r>
      <w:r w:rsidR="00CF32DA"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scuole; </w:t>
      </w:r>
    </w:p>
    <w:p w14:paraId="2A0FA290" w14:textId="56B39BB4" w:rsidR="00CF32DA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Progetti specifici per l’handicap; </w:t>
      </w:r>
    </w:p>
    <w:p w14:paraId="55458FF9" w14:textId="6362F8ED" w:rsidR="00CF32DA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Progetti relativi all’organico; </w:t>
      </w:r>
      <w:bookmarkStart w:id="0" w:name="_GoBack"/>
      <w:bookmarkEnd w:id="0"/>
    </w:p>
    <w:p w14:paraId="574BF72E" w14:textId="0C9752A4" w:rsidR="00652B79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Progetti per l’aggiornamento del personale. </w:t>
      </w:r>
    </w:p>
    <w:p w14:paraId="474E55BB" w14:textId="0E5FB95D" w:rsidR="00652B79" w:rsidRPr="00285511" w:rsidRDefault="00652B79" w:rsidP="00285511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i/>
        </w:rPr>
        <w:t xml:space="preserve">  </w:t>
      </w:r>
      <w:r w:rsidRPr="00285511">
        <w:rPr>
          <w:rFonts w:asciiTheme="majorHAnsi" w:hAnsiTheme="majorHAnsi" w:cstheme="majorHAnsi"/>
        </w:rPr>
        <w:t xml:space="preserve"> </w:t>
      </w:r>
    </w:p>
    <w:p w14:paraId="233BD348" w14:textId="7363F0B0" w:rsidR="00652B79" w:rsidRPr="00285511" w:rsidRDefault="00652B79" w:rsidP="00285511">
      <w:pPr>
        <w:spacing w:after="87"/>
        <w:ind w:left="10" w:right="6" w:hanging="10"/>
        <w:jc w:val="center"/>
        <w:rPr>
          <w:b/>
          <w:bCs/>
          <w:color w:val="A80000"/>
          <w:sz w:val="36"/>
          <w:szCs w:val="36"/>
        </w:rPr>
      </w:pPr>
      <w:r w:rsidRPr="00285511">
        <w:rPr>
          <w:b/>
          <w:bCs/>
          <w:color w:val="A80000"/>
          <w:sz w:val="36"/>
          <w:szCs w:val="36"/>
        </w:rPr>
        <w:t>GL</w:t>
      </w:r>
      <w:r w:rsidR="00CF32DA" w:rsidRPr="00285511">
        <w:rPr>
          <w:b/>
          <w:bCs/>
          <w:color w:val="A80000"/>
          <w:sz w:val="36"/>
          <w:szCs w:val="36"/>
        </w:rPr>
        <w:t xml:space="preserve">I </w:t>
      </w:r>
      <w:r w:rsidRPr="00285511">
        <w:rPr>
          <w:b/>
          <w:bCs/>
          <w:color w:val="A80000"/>
          <w:sz w:val="36"/>
          <w:szCs w:val="36"/>
        </w:rPr>
        <w:t>O (gruppo di lavoro</w:t>
      </w:r>
      <w:r w:rsidR="00CF32DA" w:rsidRPr="00285511">
        <w:rPr>
          <w:b/>
          <w:bCs/>
          <w:color w:val="A80000"/>
          <w:sz w:val="36"/>
          <w:szCs w:val="36"/>
        </w:rPr>
        <w:t xml:space="preserve"> inclusione -</w:t>
      </w:r>
      <w:r w:rsidRPr="00285511">
        <w:rPr>
          <w:b/>
          <w:bCs/>
          <w:color w:val="A80000"/>
          <w:sz w:val="36"/>
          <w:szCs w:val="36"/>
        </w:rPr>
        <w:t xml:space="preserve"> operativo) </w:t>
      </w:r>
    </w:p>
    <w:p w14:paraId="49253DA8" w14:textId="77777777" w:rsidR="00652B79" w:rsidRPr="00285511" w:rsidRDefault="00652B79" w:rsidP="00652B79">
      <w:pPr>
        <w:spacing w:after="17"/>
        <w:ind w:left="3541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34BB4154" w14:textId="77777777" w:rsidR="00652B79" w:rsidRPr="00285511" w:rsidRDefault="00652B79" w:rsidP="00652B79">
      <w:pPr>
        <w:spacing w:after="49" w:line="265" w:lineRule="auto"/>
        <w:ind w:left="-15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Per ogni allievo in situazione di Handicap si riunisce il Gruppo di Lavoro Operativo (GLO), formato da: </w:t>
      </w:r>
    </w:p>
    <w:p w14:paraId="3F8787B4" w14:textId="63B633E1" w:rsidR="00CF32DA" w:rsidRPr="00285511" w:rsidRDefault="00652B79" w:rsidP="00285511">
      <w:pPr>
        <w:pStyle w:val="Paragrafoelenco"/>
        <w:numPr>
          <w:ilvl w:val="0"/>
          <w:numId w:val="6"/>
        </w:numPr>
        <w:spacing w:after="61" w:line="291" w:lineRule="auto"/>
        <w:ind w:right="5243"/>
        <w:jc w:val="both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Dirigente Scolastico o suo</w:t>
      </w:r>
      <w:r w:rsidR="00285511"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delegato </w:t>
      </w:r>
    </w:p>
    <w:p w14:paraId="426FC504" w14:textId="77777777" w:rsidR="00CF32DA" w:rsidRPr="00285511" w:rsidRDefault="00652B79" w:rsidP="00CF32DA">
      <w:pPr>
        <w:pStyle w:val="Paragrafoelenco"/>
        <w:numPr>
          <w:ilvl w:val="0"/>
          <w:numId w:val="6"/>
        </w:numPr>
        <w:spacing w:after="61" w:line="291" w:lineRule="auto"/>
        <w:ind w:right="5719"/>
        <w:jc w:val="both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Consiglio di Classe </w:t>
      </w:r>
    </w:p>
    <w:p w14:paraId="454820D4" w14:textId="77777777" w:rsidR="00CF32DA" w:rsidRPr="00285511" w:rsidRDefault="00652B79" w:rsidP="00CF32DA">
      <w:pPr>
        <w:pStyle w:val="Paragrafoelenco"/>
        <w:numPr>
          <w:ilvl w:val="0"/>
          <w:numId w:val="6"/>
        </w:numPr>
        <w:spacing w:after="61" w:line="291" w:lineRule="auto"/>
        <w:ind w:right="5719"/>
        <w:jc w:val="both"/>
        <w:rPr>
          <w:rFonts w:asciiTheme="majorHAnsi" w:eastAsia="Segoe UI Symbol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Referente e personale ASL </w:t>
      </w:r>
    </w:p>
    <w:p w14:paraId="51292ADB" w14:textId="77777777" w:rsidR="00CF32DA" w:rsidRPr="00285511" w:rsidRDefault="00652B79" w:rsidP="00CF32DA">
      <w:pPr>
        <w:pStyle w:val="Paragrafoelenco"/>
        <w:numPr>
          <w:ilvl w:val="0"/>
          <w:numId w:val="6"/>
        </w:numPr>
        <w:spacing w:after="61" w:line="291" w:lineRule="auto"/>
        <w:ind w:right="5719"/>
        <w:jc w:val="both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Tutori dell’alunno </w:t>
      </w:r>
    </w:p>
    <w:p w14:paraId="0AAD9740" w14:textId="77777777" w:rsidR="00285511" w:rsidRPr="00285511" w:rsidRDefault="00285511" w:rsidP="00652B79">
      <w:pPr>
        <w:spacing w:after="61" w:line="291" w:lineRule="auto"/>
        <w:ind w:right="5719"/>
        <w:jc w:val="both"/>
        <w:rPr>
          <w:rFonts w:asciiTheme="majorHAnsi" w:eastAsia="Calisto MT" w:hAnsiTheme="majorHAnsi" w:cstheme="majorHAnsi"/>
        </w:rPr>
      </w:pPr>
    </w:p>
    <w:p w14:paraId="0EC6118E" w14:textId="6CFEEBEB" w:rsidR="00652B79" w:rsidRPr="00285511" w:rsidRDefault="00652B79" w:rsidP="00652B79">
      <w:pPr>
        <w:spacing w:after="61" w:line="291" w:lineRule="auto"/>
        <w:ind w:right="5719"/>
        <w:jc w:val="both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eastAsia="Calisto MT" w:hAnsiTheme="majorHAnsi" w:cstheme="majorHAnsi"/>
          <w:b/>
          <w:bCs/>
        </w:rPr>
        <w:t>Il GL</w:t>
      </w:r>
      <w:r w:rsidR="00CF32DA" w:rsidRPr="00285511">
        <w:rPr>
          <w:rFonts w:asciiTheme="majorHAnsi" w:eastAsia="Calisto MT" w:hAnsiTheme="majorHAnsi" w:cstheme="majorHAnsi"/>
          <w:b/>
          <w:bCs/>
        </w:rPr>
        <w:t>I</w:t>
      </w:r>
      <w:r w:rsidRPr="00285511">
        <w:rPr>
          <w:rFonts w:asciiTheme="majorHAnsi" w:eastAsia="Calisto MT" w:hAnsiTheme="majorHAnsi" w:cstheme="majorHAnsi"/>
          <w:b/>
          <w:bCs/>
        </w:rPr>
        <w:t xml:space="preserve">O:  </w:t>
      </w:r>
    </w:p>
    <w:p w14:paraId="5F9C267D" w14:textId="77777777" w:rsidR="00652B79" w:rsidRPr="00285511" w:rsidRDefault="00652B79" w:rsidP="00CF32DA">
      <w:pPr>
        <w:pStyle w:val="Paragrafoelenco"/>
        <w:numPr>
          <w:ilvl w:val="0"/>
          <w:numId w:val="7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presiede alla stesura e all’aggiornamento del bilancio diagnostico e prognostico del Profilo Dinamico Funzionale. </w:t>
      </w:r>
    </w:p>
    <w:p w14:paraId="047D6234" w14:textId="77777777" w:rsidR="00652B79" w:rsidRPr="00285511" w:rsidRDefault="00652B79" w:rsidP="00CF32DA">
      <w:pPr>
        <w:pStyle w:val="Paragrafoelenco"/>
        <w:numPr>
          <w:ilvl w:val="0"/>
          <w:numId w:val="7"/>
        </w:numPr>
        <w:spacing w:after="107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interviene nella progettazione e verifica del Piano Educativo Individualizzato. </w:t>
      </w:r>
    </w:p>
    <w:p w14:paraId="592D21BB" w14:textId="175C0137" w:rsidR="00652B79" w:rsidRPr="00285511" w:rsidRDefault="00652B79" w:rsidP="00285511">
      <w:pPr>
        <w:pStyle w:val="Paragrafoelenco"/>
        <w:numPr>
          <w:ilvl w:val="0"/>
          <w:numId w:val="7"/>
        </w:numPr>
        <w:spacing w:after="1" w:line="312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decide le ore e le aree di sostegno necessarie nell’anno scolastico.</w:t>
      </w:r>
    </w:p>
    <w:p w14:paraId="3373EFA8" w14:textId="77777777" w:rsidR="00652B79" w:rsidRPr="00285511" w:rsidRDefault="00652B79" w:rsidP="00CF32DA">
      <w:pPr>
        <w:pStyle w:val="Paragrafoelenco"/>
        <w:numPr>
          <w:ilvl w:val="0"/>
          <w:numId w:val="7"/>
        </w:numPr>
        <w:spacing w:after="0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provvede ad ogni altro adempimento necessario. </w:t>
      </w:r>
    </w:p>
    <w:p w14:paraId="01BDC904" w14:textId="77777777" w:rsidR="00CB6E3F" w:rsidRDefault="00CB6E3F" w:rsidP="00CF32DA"/>
    <w:sectPr w:rsidR="00CB6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5FC"/>
    <w:multiLevelType w:val="hybridMultilevel"/>
    <w:tmpl w:val="A83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82E"/>
    <w:multiLevelType w:val="hybridMultilevel"/>
    <w:tmpl w:val="0BC4B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79F0"/>
    <w:multiLevelType w:val="hybridMultilevel"/>
    <w:tmpl w:val="BA443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4ED0"/>
    <w:multiLevelType w:val="hybridMultilevel"/>
    <w:tmpl w:val="9FF4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199"/>
    <w:multiLevelType w:val="hybridMultilevel"/>
    <w:tmpl w:val="A71E999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F6D7971"/>
    <w:multiLevelType w:val="hybridMultilevel"/>
    <w:tmpl w:val="6428D654"/>
    <w:lvl w:ilvl="0" w:tplc="E1065786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6D4D6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07D8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ADF16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E248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E38A4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E20CC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4B654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8054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281D75"/>
    <w:multiLevelType w:val="hybridMultilevel"/>
    <w:tmpl w:val="83827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79"/>
    <w:rsid w:val="00023892"/>
    <w:rsid w:val="001A5D51"/>
    <w:rsid w:val="00285511"/>
    <w:rsid w:val="00626CA3"/>
    <w:rsid w:val="00652B79"/>
    <w:rsid w:val="00A60820"/>
    <w:rsid w:val="00CB6E3F"/>
    <w:rsid w:val="00CF32DA"/>
    <w:rsid w:val="00D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A2848"/>
  <w15:chartTrackingRefBased/>
  <w15:docId w15:val="{069AE161-94B0-40BF-B43F-E2BDF4A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2B79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52B79"/>
    <w:pPr>
      <w:keepNext/>
      <w:keepLines/>
      <w:spacing w:after="79"/>
      <w:ind w:left="10" w:hanging="10"/>
      <w:outlineLvl w:val="2"/>
    </w:pPr>
    <w:rPr>
      <w:rFonts w:ascii="Calibri" w:eastAsia="Calibri" w:hAnsi="Calibri" w:cs="Calibri"/>
      <w:color w:val="C0504D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52B79"/>
    <w:rPr>
      <w:rFonts w:ascii="Calibri" w:eastAsia="Calibri" w:hAnsi="Calibri" w:cs="Calibri"/>
      <w:color w:val="C0504D"/>
      <w:sz w:val="24"/>
      <w:lang w:eastAsia="it-IT"/>
    </w:rPr>
  </w:style>
  <w:style w:type="table" w:customStyle="1" w:styleId="TableGrid">
    <w:name w:val="TableGrid"/>
    <w:rsid w:val="00652B7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F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Somaschini</dc:creator>
  <cp:keywords/>
  <dc:description/>
  <cp:lastModifiedBy>Valeria Bianco</cp:lastModifiedBy>
  <cp:revision>2</cp:revision>
  <dcterms:created xsi:type="dcterms:W3CDTF">2019-10-08T12:47:00Z</dcterms:created>
  <dcterms:modified xsi:type="dcterms:W3CDTF">2019-10-08T12:47:00Z</dcterms:modified>
</cp:coreProperties>
</file>